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1C1" w:rsidRDefault="00AD51C1" w:rsidP="00B16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</w:pPr>
      <w:r w:rsidRPr="00AD51C1"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  <w:t>ESTANCIA CASA BLANCA</w:t>
      </w:r>
    </w:p>
    <w:p w:rsidR="00AD51C1" w:rsidRPr="00AD51C1" w:rsidRDefault="00AD51C1" w:rsidP="00AD51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</w:pPr>
    </w:p>
    <w:p w:rsidR="00AD51C1" w:rsidRPr="00AD51C1" w:rsidRDefault="00AD51C1" w:rsidP="00AD51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</w:pPr>
      <w:r w:rsidRPr="00AD51C1"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  <w:t>La propiedad rural Casa Blanca posee un área total de 265,6206 ha, distribuidos en dos fracciones de 219,599 hace y 46,0216 hay, conforme mapa adjunto.</w:t>
      </w:r>
    </w:p>
    <w:p w:rsidR="00B16566" w:rsidRDefault="00B16566" w:rsidP="00AD51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</w:pPr>
    </w:p>
    <w:p w:rsidR="00AD51C1" w:rsidRPr="00AD51C1" w:rsidRDefault="00AD51C1" w:rsidP="00AD51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</w:pPr>
      <w:r w:rsidRPr="00AD51C1"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  <w:t>En cuanto a las propiedades rurales del municipio se considera de tamaño medio.</w:t>
      </w:r>
    </w:p>
    <w:p w:rsidR="00AD51C1" w:rsidRPr="00AD51C1" w:rsidRDefault="00AD51C1" w:rsidP="00AD51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</w:pPr>
      <w:r w:rsidRPr="00AD51C1"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  <w:t xml:space="preserve">Ubicación: Su frente principal (del área más grande con la sede) se encuentra en la RS608, distante 10,5 km de la ciudad de </w:t>
      </w:r>
      <w:proofErr w:type="spellStart"/>
      <w:r w:rsidRPr="00AD51C1"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  <w:t>Pinheiro</w:t>
      </w:r>
      <w:proofErr w:type="spellEnd"/>
      <w:r w:rsidRPr="00AD51C1"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  <w:t xml:space="preserve"> Machado y 23 km de la ciudad de Piedras Altas.</w:t>
      </w:r>
    </w:p>
    <w:p w:rsidR="00AD51C1" w:rsidRPr="00AD51C1" w:rsidRDefault="00AD51C1" w:rsidP="00AD51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</w:pPr>
      <w:proofErr w:type="gramStart"/>
      <w:r w:rsidRPr="00AD51C1"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  <w:t>mejoras</w:t>
      </w:r>
      <w:proofErr w:type="gramEnd"/>
      <w:r w:rsidRPr="00AD51C1"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  <w:t>:</w:t>
      </w:r>
    </w:p>
    <w:p w:rsidR="00B16566" w:rsidRPr="00AD51C1" w:rsidRDefault="00AD51C1" w:rsidP="00AD51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  <w:t>Tiene un galpón</w:t>
      </w:r>
      <w:r w:rsidRPr="00AD51C1"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  <w:t>, con estructura de hormigón prefabricado y piso de hormigón, con 240 m² (12x20m); teniendo a su alrededor por el sur y el este, galpones adyacentes midiendo 144m² (4x16m y 4x20m). Superficie total de galpón y accesorios 384 m²</w:t>
      </w:r>
      <w:r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  <w:t>.</w:t>
      </w:r>
    </w:p>
    <w:p w:rsidR="00AD51C1" w:rsidRPr="00AD51C1" w:rsidRDefault="00AD51C1" w:rsidP="00AD51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  <w:t>Con dos casas</w:t>
      </w:r>
      <w:r w:rsidRPr="00AD51C1"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  <w:t>, una con sala de estar-comedor con chimenea, cocina, tres suites, área de servicios y b</w:t>
      </w:r>
      <w:r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  <w:t xml:space="preserve">año de servicio, teniendo una </w:t>
      </w:r>
      <w:r w:rsidRPr="00AD51C1"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  <w:t>baranda de 3m de ancho por dos lados (en el frente oeste y en el lateral sur), midiendo esta primera casa de 230 m².</w:t>
      </w:r>
    </w:p>
    <w:p w:rsidR="00AD51C1" w:rsidRPr="00AD51C1" w:rsidRDefault="00AD51C1" w:rsidP="00AD51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</w:pPr>
      <w:r w:rsidRPr="00AD51C1"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  <w:t>La otra casa, histórica, construida alrededor de 1790, tiene paredes externas con 70 cm de espesor, con sala, suite, comedor, dormitorio, cocina y más una suite pequeña, además de un patio totalmente amurallado con albañilería de piedra,</w:t>
      </w:r>
      <w:r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  <w:t xml:space="preserve"> e</w:t>
      </w:r>
      <w:r w:rsidRPr="00AD51C1"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  <w:t>n el espacio entre estas dos casas existe un salón con 90m², con barbacoa y horno para panes.</w:t>
      </w:r>
    </w:p>
    <w:p w:rsidR="00AD51C1" w:rsidRPr="00AD51C1" w:rsidRDefault="00AD51C1" w:rsidP="00AD51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  <w:t>Tiene una casa</w:t>
      </w:r>
      <w:r w:rsidRPr="00AD51C1"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  <w:t xml:space="preserve"> para empleados con sala-cocina con chimenea, dormitorio grande y baño y dependencia para depósito</w:t>
      </w:r>
      <w:r w:rsidR="00B16566"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  <w:t>.</w:t>
      </w:r>
    </w:p>
    <w:p w:rsidR="00AD51C1" w:rsidRDefault="00AD51C1" w:rsidP="00AD51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</w:pPr>
      <w:r w:rsidRPr="00AD51C1"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  <w:t>Otras construcciones existentes que apoyan la actividad rural:</w:t>
      </w:r>
    </w:p>
    <w:p w:rsidR="00B16566" w:rsidRPr="00AD51C1" w:rsidRDefault="00B16566" w:rsidP="00AD51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</w:pPr>
    </w:p>
    <w:p w:rsidR="00AD51C1" w:rsidRPr="00AD51C1" w:rsidRDefault="00AD51C1" w:rsidP="00AD51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</w:pPr>
      <w:r w:rsidRPr="00AD51C1"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  <w:t xml:space="preserve">- Mangueras (corrales) con brete y tronco de contención cubiertos, baño de aspersión con motor trifásico, balanza para </w:t>
      </w:r>
      <w:r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  <w:t>dos animales, cubierta, casa</w:t>
      </w:r>
      <w:r w:rsidRPr="00AD51C1"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  <w:t xml:space="preserve"> para medicamentos e inseminación, todo dentro de un manguito circular de piedra.</w:t>
      </w:r>
    </w:p>
    <w:p w:rsidR="00AD51C1" w:rsidRDefault="00AD51C1" w:rsidP="00AD51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</w:pPr>
      <w:r w:rsidRPr="00AD51C1"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  <w:t xml:space="preserve">- Tres silos trinchera para </w:t>
      </w:r>
      <w:proofErr w:type="spellStart"/>
      <w:r w:rsidRPr="00AD51C1"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  <w:t>silaje</w:t>
      </w:r>
      <w:proofErr w:type="spellEnd"/>
      <w:r w:rsidRPr="00AD51C1"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  <w:t xml:space="preserve">, siendo dos revestidos de albañilería y revoque con impermeabilizante, y un bien mayor, para usar con revestimiento de plástico, propio para </w:t>
      </w:r>
      <w:proofErr w:type="spellStart"/>
      <w:r w:rsidRPr="00AD51C1"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  <w:t>silaje</w:t>
      </w:r>
      <w:proofErr w:type="spellEnd"/>
      <w:r w:rsidRPr="00AD51C1"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  <w:t>.</w:t>
      </w:r>
    </w:p>
    <w:p w:rsidR="00AD51C1" w:rsidRPr="00AD51C1" w:rsidRDefault="00AD51C1" w:rsidP="00AD51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</w:pPr>
    </w:p>
    <w:p w:rsidR="00AD51C1" w:rsidRDefault="00AD51C1" w:rsidP="00AD51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</w:pPr>
      <w:r w:rsidRPr="00AD51C1"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  <w:t>Topografía / Relieve y tipo (s) de suelo:</w:t>
      </w:r>
    </w:p>
    <w:p w:rsidR="00AD51C1" w:rsidRPr="00AD51C1" w:rsidRDefault="00AD51C1" w:rsidP="00AD51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</w:pPr>
    </w:p>
    <w:p w:rsidR="00AD51C1" w:rsidRPr="00AD51C1" w:rsidRDefault="00AD51C1" w:rsidP="00AD51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</w:pPr>
      <w:r w:rsidRPr="00AD51C1"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  <w:t xml:space="preserve">Inicialmente esa área, en su mayor parte constituida por </w:t>
      </w:r>
      <w:proofErr w:type="spellStart"/>
      <w:r w:rsidRPr="00AD51C1"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  <w:t>coxilhones</w:t>
      </w:r>
      <w:proofErr w:type="spellEnd"/>
      <w:r w:rsidRPr="00AD51C1"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  <w:t>, fue elegida por ser propia para Viticultura, lo que pretendíamos implantar. Se encuentra en el Paralelo 31, propicio al plantío de viníferas finas.</w:t>
      </w:r>
    </w:p>
    <w:p w:rsidR="00AD51C1" w:rsidRPr="00AD51C1" w:rsidRDefault="00AD51C1" w:rsidP="00AD51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</w:pPr>
      <w:r w:rsidRPr="00AD51C1"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  <w:t xml:space="preserve">Gran parte de la propiedad es cultivable, 150 a 180 hay, donde predomina suelo rojo amarillo </w:t>
      </w:r>
      <w:proofErr w:type="spellStart"/>
      <w:r w:rsidRPr="00AD51C1"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  <w:t>podzólico</w:t>
      </w:r>
      <w:proofErr w:type="spellEnd"/>
      <w:r w:rsidRPr="00AD51C1"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  <w:t>. Suelos bien drenados y profundos.</w:t>
      </w:r>
    </w:p>
    <w:p w:rsidR="00AD51C1" w:rsidRPr="00AD51C1" w:rsidRDefault="00AD51C1" w:rsidP="00AD51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</w:pPr>
      <w:r w:rsidRPr="00AD51C1"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  <w:t>Posee una parte muy pequeña con una pendiente más acentuada y arenosa, donde se indicaría el uso para el cultivo de olivos y / o de la pecera</w:t>
      </w:r>
    </w:p>
    <w:p w:rsidR="00AD51C1" w:rsidRDefault="00AD51C1" w:rsidP="00AD51C1">
      <w:pPr>
        <w:pStyle w:val="HTMLconformatoprevio"/>
        <w:shd w:val="clear" w:color="auto" w:fill="FFFFFF"/>
        <w:rPr>
          <w:rFonts w:ascii="inherit" w:hAnsi="inherit"/>
          <w:color w:val="212121"/>
        </w:rPr>
      </w:pPr>
    </w:p>
    <w:p w:rsidR="00AD51C1" w:rsidRDefault="00AD51C1" w:rsidP="00AD51C1">
      <w:pPr>
        <w:pStyle w:val="HTMLconformatoprevio"/>
        <w:shd w:val="clear" w:color="auto" w:fill="FFFFFF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>Energía eléctrica instalada y disponible:</w:t>
      </w:r>
    </w:p>
    <w:p w:rsidR="00AD51C1" w:rsidRDefault="00AD51C1" w:rsidP="00AD51C1">
      <w:pPr>
        <w:pStyle w:val="HTMLconformatoprevio"/>
        <w:shd w:val="clear" w:color="auto" w:fill="FFFFFF"/>
        <w:rPr>
          <w:rFonts w:ascii="inherit" w:hAnsi="inherit"/>
          <w:color w:val="212121"/>
        </w:rPr>
      </w:pPr>
    </w:p>
    <w:p w:rsidR="00AD51C1" w:rsidRDefault="00AD51C1" w:rsidP="00AD51C1">
      <w:pPr>
        <w:pStyle w:val="HTMLconformatoprevio"/>
        <w:shd w:val="clear" w:color="auto" w:fill="FFFFFF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>La propiedad utiliza energía eléctrica de la CEEE y cuenta con un transformador de 45 KVA, trifásico.</w:t>
      </w:r>
    </w:p>
    <w:p w:rsidR="00AD51C1" w:rsidRDefault="00AD51C1" w:rsidP="00AD51C1">
      <w:pPr>
        <w:pStyle w:val="HTMLconformatoprevio"/>
        <w:shd w:val="clear" w:color="auto" w:fill="FFFFFF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>Disponibilidad de agua y sus posibilidades de captación adicionales</w:t>
      </w:r>
    </w:p>
    <w:p w:rsidR="00AD51C1" w:rsidRDefault="00AD51C1" w:rsidP="00AD51C1">
      <w:pPr>
        <w:pStyle w:val="HTMLconformatoprevio"/>
        <w:shd w:val="clear" w:color="auto" w:fill="FFFFFF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>Tiene una cisterna de 60 m³ que almacena agua potable en todas las estaciones del año y posteriormente el agua es bombeada por un motor eléctrico para una caja de agua metálica y con torre metálica con la capacidad de 10.000 litros.</w:t>
      </w:r>
    </w:p>
    <w:p w:rsidR="00AD51C1" w:rsidRDefault="00AD51C1" w:rsidP="00AD51C1">
      <w:pPr>
        <w:pStyle w:val="HTMLconformatoprevio"/>
        <w:shd w:val="clear" w:color="auto" w:fill="FFFFFF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 xml:space="preserve">Posee un arroyo fuerte, llamado </w:t>
      </w:r>
      <w:proofErr w:type="spellStart"/>
      <w:r>
        <w:rPr>
          <w:rFonts w:ascii="inherit" w:hAnsi="inherit"/>
          <w:color w:val="212121"/>
        </w:rPr>
        <w:t>Arroio</w:t>
      </w:r>
      <w:proofErr w:type="spellEnd"/>
      <w:r>
        <w:rPr>
          <w:rFonts w:ascii="inherit" w:hAnsi="inherit"/>
          <w:color w:val="212121"/>
        </w:rPr>
        <w:t xml:space="preserve"> do </w:t>
      </w:r>
      <w:proofErr w:type="spellStart"/>
      <w:r>
        <w:rPr>
          <w:rFonts w:ascii="inherit" w:hAnsi="inherit"/>
          <w:color w:val="212121"/>
        </w:rPr>
        <w:t>Salso</w:t>
      </w:r>
      <w:proofErr w:type="spellEnd"/>
      <w:r>
        <w:rPr>
          <w:rFonts w:ascii="inherit" w:hAnsi="inherit"/>
          <w:color w:val="212121"/>
        </w:rPr>
        <w:t xml:space="preserve"> y una </w:t>
      </w:r>
      <w:proofErr w:type="spellStart"/>
      <w:r>
        <w:rPr>
          <w:rFonts w:ascii="inherit" w:hAnsi="inherit"/>
          <w:color w:val="212121"/>
        </w:rPr>
        <w:t>sanga</w:t>
      </w:r>
      <w:proofErr w:type="spellEnd"/>
      <w:r>
        <w:rPr>
          <w:rFonts w:ascii="inherit" w:hAnsi="inherit"/>
          <w:color w:val="212121"/>
        </w:rPr>
        <w:t xml:space="preserve">, afluente de ese arroyo, llamada </w:t>
      </w:r>
      <w:proofErr w:type="spellStart"/>
      <w:r>
        <w:rPr>
          <w:rFonts w:ascii="inherit" w:hAnsi="inherit"/>
          <w:color w:val="212121"/>
        </w:rPr>
        <w:t>Sanga</w:t>
      </w:r>
      <w:proofErr w:type="spellEnd"/>
      <w:r>
        <w:rPr>
          <w:rFonts w:ascii="inherit" w:hAnsi="inherit"/>
          <w:color w:val="212121"/>
        </w:rPr>
        <w:t xml:space="preserve"> de los </w:t>
      </w:r>
      <w:proofErr w:type="spellStart"/>
      <w:r>
        <w:rPr>
          <w:rFonts w:ascii="inherit" w:hAnsi="inherit"/>
          <w:color w:val="212121"/>
        </w:rPr>
        <w:t>Vímenes</w:t>
      </w:r>
      <w:proofErr w:type="spellEnd"/>
      <w:r>
        <w:rPr>
          <w:rFonts w:ascii="inherit" w:hAnsi="inherit"/>
          <w:color w:val="212121"/>
        </w:rPr>
        <w:t>, que proporcionan agua a gran parte de los potreros de la propiedad.</w:t>
      </w:r>
    </w:p>
    <w:p w:rsidR="00AD51C1" w:rsidRDefault="00AD51C1" w:rsidP="00AD51C1">
      <w:pPr>
        <w:pStyle w:val="HTMLconformatoprevio"/>
        <w:shd w:val="clear" w:color="auto" w:fill="FFFFFF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>Cercas externas e internas:</w:t>
      </w:r>
    </w:p>
    <w:p w:rsidR="00AD51C1" w:rsidRDefault="00AD51C1" w:rsidP="00AD51C1">
      <w:pPr>
        <w:pStyle w:val="HTMLconformatoprevio"/>
        <w:shd w:val="clear" w:color="auto" w:fill="FFFFFF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>Las cercas externas son de alambre convencional en óptimo estado de conservación con seis hilos de alambre y postes de 12 en 12 metros.</w:t>
      </w:r>
    </w:p>
    <w:p w:rsidR="00AD51C1" w:rsidRDefault="00AD51C1" w:rsidP="00AD51C1">
      <w:pPr>
        <w:pStyle w:val="HTMLconformatoprevio"/>
        <w:shd w:val="clear" w:color="auto" w:fill="FFFFFF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>Las cercas internas son, en su gran mayoría formada con cuatro hilos, siendo tres electrificados y una tierra. Algunas cercas internas se fijan con seis hilos de alambre.</w:t>
      </w:r>
    </w:p>
    <w:p w:rsidR="00AD51C1" w:rsidRDefault="00AD51C1" w:rsidP="00AD51C1">
      <w:pPr>
        <w:pStyle w:val="HTMLconformatoprevio"/>
        <w:shd w:val="clear" w:color="auto" w:fill="FFFFFF"/>
        <w:rPr>
          <w:rFonts w:ascii="inherit" w:hAnsi="inherit"/>
          <w:color w:val="212121"/>
        </w:rPr>
      </w:pPr>
    </w:p>
    <w:p w:rsidR="00AD51C1" w:rsidRDefault="00AD51C1" w:rsidP="00AD51C1">
      <w:pPr>
        <w:pStyle w:val="HTMLconformatoprevio"/>
        <w:shd w:val="clear" w:color="auto" w:fill="FFFFFF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>Número de potreros y divisiones:</w:t>
      </w:r>
    </w:p>
    <w:p w:rsidR="00AD51C1" w:rsidRDefault="00AD51C1" w:rsidP="00AD51C1">
      <w:pPr>
        <w:pStyle w:val="HTMLconformatoprevio"/>
        <w:shd w:val="clear" w:color="auto" w:fill="FFFFFF"/>
        <w:rPr>
          <w:rFonts w:ascii="inherit" w:hAnsi="inherit"/>
          <w:color w:val="212121"/>
        </w:rPr>
      </w:pPr>
    </w:p>
    <w:p w:rsidR="00AD51C1" w:rsidRDefault="00AD51C1" w:rsidP="00AD51C1">
      <w:pPr>
        <w:pStyle w:val="HTMLconformatoprevio"/>
        <w:shd w:val="clear" w:color="auto" w:fill="FFFFFF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>Hay 24 potreros como estructura básica, inicial, rodeada por alambre tradicional, de los cuales algunos fueron teniendo su contorno sustituido por cercas electrificadas. E internamente son subdivididos por cercas eléctricas, según la necesidad del uso.</w:t>
      </w:r>
    </w:p>
    <w:p w:rsidR="00AD51C1" w:rsidRDefault="00AD51C1" w:rsidP="00AD51C1">
      <w:pPr>
        <w:pStyle w:val="HTMLconformatoprevio"/>
        <w:shd w:val="clear" w:color="auto" w:fill="FFFFFF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>Culturas (producción por hectárea):</w:t>
      </w:r>
    </w:p>
    <w:p w:rsidR="00AD51C1" w:rsidRDefault="00AD51C1" w:rsidP="00AD51C1">
      <w:pPr>
        <w:pStyle w:val="HTMLconformatoprevio"/>
        <w:shd w:val="clear" w:color="auto" w:fill="FFFFFF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lastRenderedPageBreak/>
        <w:t xml:space="preserve">La productividad de maíz </w:t>
      </w:r>
      <w:proofErr w:type="spellStart"/>
      <w:r>
        <w:rPr>
          <w:rFonts w:ascii="inherit" w:hAnsi="inherit"/>
          <w:color w:val="212121"/>
        </w:rPr>
        <w:t>silaje</w:t>
      </w:r>
      <w:proofErr w:type="spellEnd"/>
      <w:r>
        <w:rPr>
          <w:rFonts w:ascii="inherit" w:hAnsi="inherit"/>
          <w:color w:val="212121"/>
        </w:rPr>
        <w:t xml:space="preserve"> en la propiedad es de 50 toneladas por hectárea.</w:t>
      </w:r>
    </w:p>
    <w:p w:rsidR="00AD51C1" w:rsidRDefault="00AD51C1" w:rsidP="00AD51C1">
      <w:pPr>
        <w:pStyle w:val="HTMLconformatoprevio"/>
        <w:shd w:val="clear" w:color="auto" w:fill="FFFFFF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 xml:space="preserve">Levantamiento topográfico y </w:t>
      </w:r>
      <w:proofErr w:type="spellStart"/>
      <w:r>
        <w:rPr>
          <w:rFonts w:ascii="inherit" w:hAnsi="inherit"/>
          <w:color w:val="212121"/>
        </w:rPr>
        <w:t>Geo-referenciación</w:t>
      </w:r>
      <w:proofErr w:type="spellEnd"/>
      <w:r>
        <w:rPr>
          <w:rFonts w:ascii="inherit" w:hAnsi="inherit"/>
          <w:color w:val="212121"/>
        </w:rPr>
        <w:t>.</w:t>
      </w:r>
    </w:p>
    <w:p w:rsidR="00AD51C1" w:rsidRDefault="00AD51C1" w:rsidP="00AD51C1">
      <w:pPr>
        <w:pStyle w:val="HTMLconformatoprevio"/>
        <w:shd w:val="clear" w:color="auto" w:fill="FFFFFF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 xml:space="preserve">Se realizó un análisis topográfico </w:t>
      </w:r>
      <w:proofErr w:type="spellStart"/>
      <w:r>
        <w:rPr>
          <w:rFonts w:ascii="inherit" w:hAnsi="inherit"/>
          <w:color w:val="212121"/>
        </w:rPr>
        <w:t>planialtimétrico</w:t>
      </w:r>
      <w:proofErr w:type="spellEnd"/>
      <w:r>
        <w:rPr>
          <w:rFonts w:ascii="inherit" w:hAnsi="inherit"/>
          <w:color w:val="212121"/>
        </w:rPr>
        <w:t xml:space="preserve"> detallado </w:t>
      </w:r>
      <w:proofErr w:type="spellStart"/>
      <w:r>
        <w:rPr>
          <w:rFonts w:ascii="inherit" w:hAnsi="inherit"/>
          <w:color w:val="212121"/>
        </w:rPr>
        <w:t>georeferenciado</w:t>
      </w:r>
      <w:proofErr w:type="spellEnd"/>
      <w:r>
        <w:rPr>
          <w:rFonts w:ascii="inherit" w:hAnsi="inherit"/>
          <w:color w:val="212121"/>
        </w:rPr>
        <w:t xml:space="preserve"> en marzo de 2002 y con la finalidad de registrar en la oficina el </w:t>
      </w:r>
      <w:proofErr w:type="spellStart"/>
      <w:r>
        <w:rPr>
          <w:rFonts w:ascii="inherit" w:hAnsi="inherit"/>
          <w:color w:val="212121"/>
        </w:rPr>
        <w:t>geo-referenciamiento</w:t>
      </w:r>
      <w:proofErr w:type="spellEnd"/>
      <w:r>
        <w:rPr>
          <w:rFonts w:ascii="inherit" w:hAnsi="inherit"/>
          <w:color w:val="212121"/>
        </w:rPr>
        <w:t>, se hizo nueva medición en enero de 2016. Se quedó listo con firmas de los linderos en abril de 2018.</w:t>
      </w:r>
    </w:p>
    <w:p w:rsidR="00AD51C1" w:rsidRDefault="00AD51C1" w:rsidP="00AD51C1">
      <w:pPr>
        <w:pStyle w:val="HTMLconformatoprevio"/>
        <w:shd w:val="clear" w:color="auto" w:fill="FFFFFF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>No hemos efectuado el registro, pues estamos aguardando la documentación del DAER referente a un área estrecha, que fue tomada cuando la construcción de la RS 608 y que precisa en la Oficina de Registro de Inmuebles ser apuntada antes de nuestra nueva medición de nuestra área remanente.</w:t>
      </w:r>
    </w:p>
    <w:p w:rsidR="00AD51C1" w:rsidRDefault="00AD51C1" w:rsidP="00AD51C1">
      <w:pPr>
        <w:pStyle w:val="HTMLconformatoprevio"/>
        <w:shd w:val="clear" w:color="auto" w:fill="FFFFFF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>Valoración / Forma de pago</w:t>
      </w:r>
    </w:p>
    <w:p w:rsidR="00AD51C1" w:rsidRDefault="00AD51C1" w:rsidP="00AD51C1">
      <w:pPr>
        <w:pStyle w:val="HTMLconformatoprevio"/>
        <w:shd w:val="clear" w:color="auto" w:fill="FFFFFF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>- R $ 3.453.000,00 - que equivale a R $ 13.000,00 / ha</w:t>
      </w:r>
    </w:p>
    <w:p w:rsidR="00AD51C1" w:rsidRDefault="00AD51C1" w:rsidP="00AD51C1">
      <w:pPr>
        <w:pStyle w:val="HTMLconformatoprevio"/>
        <w:shd w:val="clear" w:color="auto" w:fill="FFFFFF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>Se acepta escuchar propuestas de pago a plazo, sujeto a aprobación de registro, valor sustancial (50%) como entrada de negocio, plazo no muy largo (1 + 2), aumentos de intereses en el plazo, escritura al final del pago, pago de comisiones a medida que se reciban las parcelas.</w:t>
      </w:r>
    </w:p>
    <w:p w:rsidR="003114FB" w:rsidRDefault="003114FB"/>
    <w:tbl>
      <w:tblPr>
        <w:tblStyle w:val="Tablaconcuadrcula"/>
        <w:tblW w:w="0" w:type="auto"/>
        <w:tblLook w:val="04A0"/>
      </w:tblPr>
      <w:tblGrid>
        <w:gridCol w:w="1301"/>
        <w:gridCol w:w="1365"/>
        <w:gridCol w:w="1334"/>
        <w:gridCol w:w="1387"/>
        <w:gridCol w:w="1382"/>
        <w:gridCol w:w="1951"/>
      </w:tblGrid>
      <w:tr w:rsidR="00594A1D" w:rsidTr="007F3ABF">
        <w:tc>
          <w:tcPr>
            <w:tcW w:w="8720" w:type="dxa"/>
            <w:gridSpan w:val="6"/>
          </w:tcPr>
          <w:p w:rsidR="00594A1D" w:rsidRPr="00594A1D" w:rsidRDefault="00594A1D" w:rsidP="00594A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br/>
            </w:r>
            <w:r w:rsidRPr="00594A1D">
              <w:rPr>
                <w:rFonts w:ascii="Arial" w:hAnsi="Arial" w:cs="Arial"/>
                <w:b/>
                <w:color w:val="212121"/>
                <w:sz w:val="20"/>
                <w:szCs w:val="20"/>
                <w:shd w:val="clear" w:color="auto" w:fill="FFFFFF"/>
              </w:rPr>
              <w:t xml:space="preserve">ÁREA TOTAL DE LA PROPIEDAD CASA BLANCA- PINHEIRO MACHADO, RS, </w:t>
            </w:r>
            <w:proofErr w:type="gramStart"/>
            <w:r w:rsidRPr="00594A1D">
              <w:rPr>
                <w:rFonts w:ascii="Arial" w:hAnsi="Arial" w:cs="Arial"/>
                <w:b/>
                <w:color w:val="212121"/>
                <w:sz w:val="20"/>
                <w:szCs w:val="20"/>
                <w:shd w:val="clear" w:color="auto" w:fill="FFFFFF"/>
              </w:rPr>
              <w:t>BRASIL</w:t>
            </w:r>
            <w:proofErr w:type="gramEnd"/>
          </w:p>
        </w:tc>
      </w:tr>
      <w:tr w:rsidR="00594A1D" w:rsidTr="007F3ABF">
        <w:tc>
          <w:tcPr>
            <w:tcW w:w="1417" w:type="dxa"/>
          </w:tcPr>
          <w:p w:rsidR="00594A1D" w:rsidRDefault="00594A1D" w:rsidP="007F3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7" w:type="dxa"/>
            <w:gridSpan w:val="2"/>
          </w:tcPr>
          <w:p w:rsidR="00594A1D" w:rsidRDefault="00594A1D" w:rsidP="00594A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Área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Aprovechable</w:t>
            </w:r>
            <w:proofErr w:type="spellEnd"/>
          </w:p>
        </w:tc>
        <w:tc>
          <w:tcPr>
            <w:tcW w:w="4456" w:type="dxa"/>
            <w:gridSpan w:val="3"/>
          </w:tcPr>
          <w:p w:rsidR="00594A1D" w:rsidRDefault="00594A1D" w:rsidP="00594A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Área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Inaprovechable</w:t>
            </w:r>
            <w:proofErr w:type="spellEnd"/>
          </w:p>
        </w:tc>
      </w:tr>
      <w:tr w:rsidR="00594A1D" w:rsidTr="007F3ABF">
        <w:tc>
          <w:tcPr>
            <w:tcW w:w="1417" w:type="dxa"/>
          </w:tcPr>
          <w:p w:rsidR="00594A1D" w:rsidRDefault="00594A1D" w:rsidP="007F3AB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Área(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há)</w:t>
            </w:r>
          </w:p>
        </w:tc>
        <w:tc>
          <w:tcPr>
            <w:tcW w:w="1423" w:type="dxa"/>
          </w:tcPr>
          <w:p w:rsidR="00594A1D" w:rsidRDefault="00594A1D" w:rsidP="007F3AB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Pasturas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Nativas(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há)</w:t>
            </w:r>
          </w:p>
        </w:tc>
        <w:tc>
          <w:tcPr>
            <w:tcW w:w="1424" w:type="dxa"/>
          </w:tcPr>
          <w:p w:rsidR="00594A1D" w:rsidRDefault="00594A1D" w:rsidP="007F3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Monte</w:t>
            </w:r>
          </w:p>
          <w:p w:rsidR="00594A1D" w:rsidRDefault="00594A1D" w:rsidP="007F3AB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Nativo(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há)</w:t>
            </w:r>
          </w:p>
        </w:tc>
        <w:tc>
          <w:tcPr>
            <w:tcW w:w="1424" w:type="dxa"/>
          </w:tcPr>
          <w:p w:rsidR="00594A1D" w:rsidRDefault="00594A1D" w:rsidP="007F3AB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Tajamar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há)</w:t>
            </w:r>
          </w:p>
        </w:tc>
        <w:tc>
          <w:tcPr>
            <w:tcW w:w="1437" w:type="dxa"/>
          </w:tcPr>
          <w:p w:rsidR="00594A1D" w:rsidRDefault="00594A1D" w:rsidP="007F3AB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Bañado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há)</w:t>
            </w:r>
          </w:p>
        </w:tc>
        <w:tc>
          <w:tcPr>
            <w:tcW w:w="1595" w:type="dxa"/>
          </w:tcPr>
          <w:p w:rsidR="00594A1D" w:rsidRDefault="00594A1D" w:rsidP="007F3AB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Construcciones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há)</w:t>
            </w:r>
          </w:p>
        </w:tc>
      </w:tr>
      <w:tr w:rsidR="00594A1D" w:rsidTr="007F3ABF">
        <w:tc>
          <w:tcPr>
            <w:tcW w:w="1417" w:type="dxa"/>
          </w:tcPr>
          <w:p w:rsidR="00594A1D" w:rsidRDefault="00594A1D" w:rsidP="007F3A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219,599 ha</w:t>
            </w:r>
          </w:p>
        </w:tc>
        <w:tc>
          <w:tcPr>
            <w:tcW w:w="1423" w:type="dxa"/>
          </w:tcPr>
          <w:p w:rsidR="00594A1D" w:rsidRDefault="00594A1D" w:rsidP="007F3A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177,4289 ha</w:t>
            </w:r>
          </w:p>
        </w:tc>
        <w:tc>
          <w:tcPr>
            <w:tcW w:w="1424" w:type="dxa"/>
          </w:tcPr>
          <w:p w:rsidR="00594A1D" w:rsidRDefault="00594A1D" w:rsidP="007F3A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38,2195 ha</w:t>
            </w:r>
          </w:p>
        </w:tc>
        <w:tc>
          <w:tcPr>
            <w:tcW w:w="1424" w:type="dxa"/>
          </w:tcPr>
          <w:p w:rsidR="00594A1D" w:rsidRDefault="00594A1D" w:rsidP="007F3A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0,8766 ha</w:t>
            </w:r>
          </w:p>
        </w:tc>
        <w:tc>
          <w:tcPr>
            <w:tcW w:w="1437" w:type="dxa"/>
          </w:tcPr>
          <w:p w:rsidR="00594A1D" w:rsidRDefault="00594A1D" w:rsidP="007F3A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2,96 ha</w:t>
            </w:r>
          </w:p>
        </w:tc>
        <w:tc>
          <w:tcPr>
            <w:tcW w:w="1595" w:type="dxa"/>
          </w:tcPr>
          <w:p w:rsidR="00594A1D" w:rsidRDefault="00594A1D" w:rsidP="007F3A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0,114 ha</w:t>
            </w:r>
          </w:p>
        </w:tc>
      </w:tr>
      <w:tr w:rsidR="00594A1D" w:rsidTr="007F3ABF">
        <w:tc>
          <w:tcPr>
            <w:tcW w:w="1417" w:type="dxa"/>
          </w:tcPr>
          <w:p w:rsidR="00594A1D" w:rsidRDefault="00594A1D" w:rsidP="007F3A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46,0216 ha</w:t>
            </w:r>
          </w:p>
        </w:tc>
        <w:tc>
          <w:tcPr>
            <w:tcW w:w="1423" w:type="dxa"/>
          </w:tcPr>
          <w:p w:rsidR="00594A1D" w:rsidRDefault="00594A1D" w:rsidP="007F3A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39,60 ha</w:t>
            </w:r>
          </w:p>
        </w:tc>
        <w:tc>
          <w:tcPr>
            <w:tcW w:w="1424" w:type="dxa"/>
          </w:tcPr>
          <w:p w:rsidR="00594A1D" w:rsidRDefault="00594A1D" w:rsidP="007F3A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6,35 ha</w:t>
            </w:r>
          </w:p>
        </w:tc>
        <w:tc>
          <w:tcPr>
            <w:tcW w:w="1424" w:type="dxa"/>
          </w:tcPr>
          <w:p w:rsidR="00594A1D" w:rsidRDefault="00594A1D" w:rsidP="007F3A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0,0637 ha</w:t>
            </w:r>
          </w:p>
        </w:tc>
        <w:tc>
          <w:tcPr>
            <w:tcW w:w="1437" w:type="dxa"/>
          </w:tcPr>
          <w:p w:rsidR="00594A1D" w:rsidRDefault="00594A1D" w:rsidP="007F3A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95" w:type="dxa"/>
          </w:tcPr>
          <w:p w:rsidR="00594A1D" w:rsidRDefault="00594A1D" w:rsidP="007F3A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</w:p>
        </w:tc>
      </w:tr>
      <w:tr w:rsidR="00594A1D" w:rsidTr="007F3ABF">
        <w:tc>
          <w:tcPr>
            <w:tcW w:w="1417" w:type="dxa"/>
          </w:tcPr>
          <w:p w:rsidR="00594A1D" w:rsidRDefault="00594A1D" w:rsidP="007F3A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265,6206 ha</w:t>
            </w:r>
          </w:p>
        </w:tc>
        <w:tc>
          <w:tcPr>
            <w:tcW w:w="1423" w:type="dxa"/>
          </w:tcPr>
          <w:p w:rsidR="00594A1D" w:rsidRDefault="00594A1D" w:rsidP="007F3A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217,0289 ha</w:t>
            </w:r>
          </w:p>
        </w:tc>
        <w:tc>
          <w:tcPr>
            <w:tcW w:w="1424" w:type="dxa"/>
          </w:tcPr>
          <w:p w:rsidR="00594A1D" w:rsidRDefault="00594A1D" w:rsidP="007F3A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44,56 ha</w:t>
            </w:r>
          </w:p>
        </w:tc>
        <w:tc>
          <w:tcPr>
            <w:tcW w:w="1424" w:type="dxa"/>
          </w:tcPr>
          <w:p w:rsidR="00594A1D" w:rsidRDefault="00594A1D" w:rsidP="007F3A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0,9403 ha</w:t>
            </w:r>
          </w:p>
        </w:tc>
        <w:tc>
          <w:tcPr>
            <w:tcW w:w="1437" w:type="dxa"/>
          </w:tcPr>
          <w:p w:rsidR="00594A1D" w:rsidRDefault="00594A1D" w:rsidP="007F3A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2,96 ha</w:t>
            </w:r>
          </w:p>
        </w:tc>
        <w:tc>
          <w:tcPr>
            <w:tcW w:w="1595" w:type="dxa"/>
          </w:tcPr>
          <w:p w:rsidR="00594A1D" w:rsidRDefault="00594A1D" w:rsidP="007F3A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0,114 ha</w:t>
            </w:r>
          </w:p>
        </w:tc>
      </w:tr>
      <w:tr w:rsidR="00594A1D" w:rsidTr="007F3ABF">
        <w:tc>
          <w:tcPr>
            <w:tcW w:w="1417" w:type="dxa"/>
          </w:tcPr>
          <w:p w:rsidR="00594A1D" w:rsidRDefault="00594A1D" w:rsidP="007F3A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  <w:tc>
          <w:tcPr>
            <w:tcW w:w="1423" w:type="dxa"/>
          </w:tcPr>
          <w:p w:rsidR="00594A1D" w:rsidRDefault="00594A1D" w:rsidP="007F3A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81,70 %</w:t>
            </w:r>
          </w:p>
        </w:tc>
        <w:tc>
          <w:tcPr>
            <w:tcW w:w="1424" w:type="dxa"/>
          </w:tcPr>
          <w:p w:rsidR="00594A1D" w:rsidRDefault="00594A1D" w:rsidP="007F3A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16,80 %</w:t>
            </w:r>
          </w:p>
        </w:tc>
        <w:tc>
          <w:tcPr>
            <w:tcW w:w="1424" w:type="dxa"/>
          </w:tcPr>
          <w:p w:rsidR="00594A1D" w:rsidRDefault="00594A1D" w:rsidP="007F3A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0,35 %</w:t>
            </w:r>
          </w:p>
        </w:tc>
        <w:tc>
          <w:tcPr>
            <w:tcW w:w="1437" w:type="dxa"/>
          </w:tcPr>
          <w:p w:rsidR="00594A1D" w:rsidRDefault="00594A1D" w:rsidP="007F3A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1,11 %</w:t>
            </w:r>
          </w:p>
        </w:tc>
        <w:tc>
          <w:tcPr>
            <w:tcW w:w="1595" w:type="dxa"/>
          </w:tcPr>
          <w:p w:rsidR="00594A1D" w:rsidRDefault="00594A1D" w:rsidP="007F3A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0,04 %</w:t>
            </w:r>
          </w:p>
        </w:tc>
      </w:tr>
    </w:tbl>
    <w:p w:rsidR="00594A1D" w:rsidRDefault="00594A1D"/>
    <w:sectPr w:rsidR="00594A1D" w:rsidSect="003114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proofState w:spelling="clean" w:grammar="clean"/>
  <w:defaultTabStop w:val="708"/>
  <w:hyphenationZone w:val="425"/>
  <w:characterSpacingControl w:val="doNotCompress"/>
  <w:compat/>
  <w:rsids>
    <w:rsidRoot w:val="00AD51C1"/>
    <w:rsid w:val="00066062"/>
    <w:rsid w:val="003114FB"/>
    <w:rsid w:val="003736E7"/>
    <w:rsid w:val="00594A1D"/>
    <w:rsid w:val="00AD51C1"/>
    <w:rsid w:val="00B16566"/>
    <w:rsid w:val="00F34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4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D51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D51C1"/>
    <w:rPr>
      <w:rFonts w:ascii="Courier New" w:eastAsia="Times New Roman" w:hAnsi="Courier New" w:cs="Courier New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594A1D"/>
    <w:pPr>
      <w:spacing w:after="0" w:line="240" w:lineRule="auto"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791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3</cp:revision>
  <dcterms:created xsi:type="dcterms:W3CDTF">2018-09-17T14:35:00Z</dcterms:created>
  <dcterms:modified xsi:type="dcterms:W3CDTF">2018-09-24T19:55:00Z</dcterms:modified>
</cp:coreProperties>
</file>